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3BD" w:rsidRDefault="00B173BD">
      <w:pPr>
        <w:spacing w:after="0" w:line="240" w:lineRule="auto"/>
        <w:jc w:val="center"/>
        <w:rPr>
          <w:sz w:val="28"/>
          <w:szCs w:val="28"/>
        </w:rPr>
      </w:pPr>
      <w:bookmarkStart w:id="0" w:name="_Hlk78988358"/>
      <w:bookmarkStart w:id="1" w:name="_GoBack"/>
      <w:bookmarkEnd w:id="1"/>
    </w:p>
    <w:p w:rsidR="00B173BD" w:rsidRDefault="00B173BD">
      <w:pPr>
        <w:spacing w:after="0" w:line="240" w:lineRule="auto"/>
        <w:jc w:val="center"/>
        <w:rPr>
          <w:sz w:val="28"/>
          <w:szCs w:val="28"/>
        </w:rPr>
      </w:pPr>
    </w:p>
    <w:p w:rsidR="00B173BD" w:rsidRDefault="00707F7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Перечень участков автомобильных дорог общего пользования регионального или межмуниципального значения</w:t>
      </w:r>
    </w:p>
    <w:p w:rsidR="00B173BD" w:rsidRDefault="00707F7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Югры, на которых установлены и используются автоматические</w:t>
      </w:r>
    </w:p>
    <w:p w:rsidR="00B173BD" w:rsidRDefault="00707F78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пункты весового и габаритного контроля транспортных средств</w:t>
      </w:r>
      <w:bookmarkEnd w:id="0"/>
    </w:p>
    <w:p w:rsidR="00B173BD" w:rsidRDefault="00B173BD">
      <w:pPr>
        <w:spacing w:after="0" w:line="240" w:lineRule="auto"/>
        <w:rPr>
          <w:sz w:val="28"/>
          <w:szCs w:val="28"/>
        </w:rPr>
      </w:pPr>
    </w:p>
    <w:tbl>
      <w:tblPr>
        <w:tblW w:w="156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08"/>
        <w:gridCol w:w="6271"/>
        <w:gridCol w:w="2170"/>
        <w:gridCol w:w="1736"/>
        <w:gridCol w:w="1371"/>
        <w:gridCol w:w="1736"/>
        <w:gridCol w:w="1782"/>
      </w:tblGrid>
      <w:tr w:rsidR="00B173BD">
        <w:trPr>
          <w:cantSplit/>
          <w:trHeight w:val="20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bookmarkStart w:id="2" w:name="_Hlk23158575"/>
            <w:r>
              <w:rPr>
                <w:rFonts w:cs="Times New Roman"/>
                <w:b/>
              </w:rPr>
              <w:t>№ п/п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участка автомобильной дороги</w:t>
            </w:r>
          </w:p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 котором размещен АПВГК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Местоположение весогаба</w:t>
            </w:r>
            <w:r>
              <w:rPr>
                <w:rFonts w:cs="Times New Roman"/>
                <w:b/>
              </w:rPr>
              <w:t>ритных датчиков</w:t>
            </w:r>
            <w:r>
              <w:rPr>
                <w:rFonts w:cs="Times New Roman"/>
                <w:b/>
                <w:lang w:val="en-US"/>
              </w:rPr>
              <w:t xml:space="preserve"> </w:t>
            </w:r>
            <w:r>
              <w:rPr>
                <w:rFonts w:cs="Times New Roman"/>
                <w:b/>
              </w:rPr>
              <w:t>АПВГК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Нормативная (расчетная) нагрузка (тонн на ось)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Категория дороги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Вид покрытия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Дата ввода в эксплуатацию АПВГК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Cs/>
              </w:rPr>
              <w:t>г. Нефтеюганск – г. Сургут, км 47+500 – км 48+000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47+750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Cs/>
              </w:rPr>
              <w:t>г. Нефтеюганск – г. Сургут, км 54+350 – км 54+850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5</w:t>
            </w:r>
            <w:r>
              <w:rPr>
                <w:rFonts w:cs="Times New Roman"/>
                <w:lang w:val="en-US"/>
              </w:rPr>
              <w:t>4</w:t>
            </w:r>
            <w:r>
              <w:rPr>
                <w:rFonts w:cs="Times New Roman"/>
              </w:rPr>
              <w:t>+600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</w:rPr>
              <w:t xml:space="preserve">г. Сургут – г. </w:t>
            </w:r>
            <w:proofErr w:type="spellStart"/>
            <w:r>
              <w:rPr>
                <w:rFonts w:cs="Times New Roman"/>
              </w:rPr>
              <w:t>Лянтор</w:t>
            </w:r>
            <w:proofErr w:type="spellEnd"/>
            <w:r>
              <w:rPr>
                <w:rFonts w:cs="Times New Roman"/>
              </w:rPr>
              <w:t>, км 17+300 – км 17+900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17+600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11,5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</w:rPr>
              <w:t xml:space="preserve">г. Сургут – г. </w:t>
            </w:r>
            <w:proofErr w:type="spellStart"/>
            <w:r>
              <w:rPr>
                <w:rFonts w:cs="Times New Roman"/>
              </w:rPr>
              <w:t>Лянтор</w:t>
            </w:r>
            <w:proofErr w:type="spellEnd"/>
            <w:r>
              <w:rPr>
                <w:rFonts w:cs="Times New Roman"/>
              </w:rPr>
              <w:t>, км 57+628 – км 58+228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57+928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</w:rPr>
              <w:t xml:space="preserve">г. Сургут – г. </w:t>
            </w:r>
            <w:proofErr w:type="spellStart"/>
            <w:r>
              <w:rPr>
                <w:rFonts w:cs="Times New Roman"/>
              </w:rPr>
              <w:t>Лянтор</w:t>
            </w:r>
            <w:proofErr w:type="spellEnd"/>
            <w:r>
              <w:rPr>
                <w:rFonts w:cs="Times New Roman"/>
              </w:rPr>
              <w:t>, км 86+350 – км 86+950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86+650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10</w:t>
            </w:r>
            <w:r>
              <w:rPr>
                <w:rFonts w:cs="Times New Roman"/>
              </w:rPr>
              <w:t>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17.11.2023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</w:rPr>
              <w:t>Северный обход г. Сургута, км 5+290 – км 5+890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5+590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17.11.2023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Cs/>
              </w:rPr>
              <w:t>г. Сургут – г. Нижневартовск, км 38+400 – км 38+900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38+650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</w:rPr>
            </w:pPr>
            <w:r>
              <w:rPr>
                <w:rFonts w:cs="Times New Roman"/>
              </w:rPr>
              <w:t>г. Сургут – г. Нижневартовск», км 129+950 – км 130+550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130+250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6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Cs/>
              </w:rPr>
              <w:t>г. Сургут – г. Нижневартовск, км 210+450 – км 210+950</w:t>
            </w:r>
          </w:p>
        </w:tc>
        <w:tc>
          <w:tcPr>
            <w:tcW w:w="21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210+700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</w:t>
            </w:r>
          </w:p>
        </w:tc>
        <w:tc>
          <w:tcPr>
            <w:tcW w:w="173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</w:p>
        </w:tc>
      </w:tr>
      <w:tr w:rsidR="00B173BD">
        <w:trPr>
          <w:cantSplit/>
          <w:trHeight w:val="2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г. Сургут – г. Когалым – граница ХМАО, км 33+720 – км 34+320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34+020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г. Сургут – г. Когалым – граница ХМАО, км 174+350 – км 179+950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174+650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17.11.2023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г. Нижневартовск – г. Радужный, км 18+670 – км 19+270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18+970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г. </w:t>
            </w:r>
            <w:proofErr w:type="spellStart"/>
            <w:r>
              <w:rPr>
                <w:rFonts w:cs="Times New Roman"/>
              </w:rPr>
              <w:t>Лангепас</w:t>
            </w:r>
            <w:proofErr w:type="spellEnd"/>
            <w:r>
              <w:rPr>
                <w:rFonts w:cs="Times New Roman"/>
              </w:rPr>
              <w:t xml:space="preserve"> – г. </w:t>
            </w:r>
            <w:proofErr w:type="spellStart"/>
            <w:r>
              <w:rPr>
                <w:rFonts w:cs="Times New Roman"/>
              </w:rPr>
              <w:t>Покачи</w:t>
            </w:r>
            <w:proofErr w:type="spellEnd"/>
            <w:r>
              <w:rPr>
                <w:rFonts w:cs="Times New Roman"/>
              </w:rPr>
              <w:t>, км 4+850 – км 5+450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5+150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24.11.2022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г. Ханты-Мансийск – п. </w:t>
            </w:r>
            <w:proofErr w:type="spellStart"/>
            <w:r>
              <w:rPr>
                <w:rFonts w:cs="Times New Roman"/>
              </w:rPr>
              <w:t>Горноправдинск</w:t>
            </w:r>
            <w:proofErr w:type="spellEnd"/>
            <w:r>
              <w:rPr>
                <w:rFonts w:cs="Times New Roman"/>
              </w:rPr>
              <w:t xml:space="preserve"> – а/д г. Тюмень – г. Ханты-Мансийск,</w:t>
            </w:r>
            <w:r>
              <w:rPr>
                <w:rFonts w:cs="Times New Roman"/>
                <w:bCs/>
              </w:rPr>
              <w:t xml:space="preserve"> км 25+550 – км 26+050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25+800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15.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г. Ханты-Мансийск – </w:t>
            </w:r>
            <w:proofErr w:type="spellStart"/>
            <w:r>
              <w:rPr>
                <w:rFonts w:cs="Times New Roman"/>
              </w:rPr>
              <w:t>пгт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Талинка</w:t>
            </w:r>
            <w:proofErr w:type="spellEnd"/>
            <w:r>
              <w:rPr>
                <w:rFonts w:cs="Times New Roman"/>
              </w:rPr>
              <w:t>, км</w:t>
            </w:r>
            <w:r>
              <w:rPr>
                <w:rFonts w:cs="Times New Roman"/>
                <w:bCs/>
              </w:rPr>
              <w:t xml:space="preserve"> 12+850 – км 13+350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13+100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г. Ханты-Мансийск – </w:t>
            </w:r>
            <w:proofErr w:type="spellStart"/>
            <w:r>
              <w:rPr>
                <w:rFonts w:cs="Times New Roman"/>
              </w:rPr>
              <w:t>пгт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Талинка</w:t>
            </w:r>
            <w:proofErr w:type="spellEnd"/>
            <w:r>
              <w:rPr>
                <w:rFonts w:cs="Times New Roman"/>
              </w:rPr>
              <w:t>, км 188+600 – км 189+200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188+900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г. </w:t>
            </w:r>
            <w:proofErr w:type="spellStart"/>
            <w:r>
              <w:rPr>
                <w:rFonts w:cs="Times New Roman"/>
              </w:rPr>
              <w:t>Нягань</w:t>
            </w:r>
            <w:proofErr w:type="spellEnd"/>
            <w:r>
              <w:rPr>
                <w:rFonts w:cs="Times New Roman"/>
              </w:rPr>
              <w:t xml:space="preserve"> – </w:t>
            </w:r>
            <w:proofErr w:type="spellStart"/>
            <w:r>
              <w:rPr>
                <w:rFonts w:cs="Times New Roman"/>
              </w:rPr>
              <w:t>пгт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Талинка</w:t>
            </w:r>
            <w:proofErr w:type="spellEnd"/>
            <w:r>
              <w:rPr>
                <w:rFonts w:cs="Times New Roman"/>
              </w:rPr>
              <w:t>, км 85+820 – км 86+420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86+120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г. </w:t>
            </w:r>
            <w:proofErr w:type="spellStart"/>
            <w:r>
              <w:rPr>
                <w:rFonts w:cs="Times New Roman"/>
              </w:rPr>
              <w:t>Нягань</w:t>
            </w:r>
            <w:proofErr w:type="spellEnd"/>
            <w:r>
              <w:rPr>
                <w:rFonts w:cs="Times New Roman"/>
              </w:rPr>
              <w:t xml:space="preserve"> – </w:t>
            </w:r>
            <w:proofErr w:type="spellStart"/>
            <w:r>
              <w:rPr>
                <w:rFonts w:cs="Times New Roman"/>
              </w:rPr>
              <w:t>пгт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Приобье</w:t>
            </w:r>
            <w:proofErr w:type="spellEnd"/>
            <w:r>
              <w:rPr>
                <w:rFonts w:cs="Times New Roman"/>
              </w:rPr>
              <w:t>, км 2+805 – км 3+405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3+105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15.12.2021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hd w:val="clear" w:color="auto" w:fill="FFFFFF"/>
              </w:rPr>
              <w:t xml:space="preserve">г. Советский – </w:t>
            </w:r>
            <w:proofErr w:type="spellStart"/>
            <w:r>
              <w:rPr>
                <w:rFonts w:cs="Times New Roman"/>
                <w:shd w:val="clear" w:color="auto" w:fill="FFFFFF"/>
              </w:rPr>
              <w:t>Ловинское</w:t>
            </w:r>
            <w:proofErr w:type="spellEnd"/>
            <w:r>
              <w:rPr>
                <w:rFonts w:cs="Times New Roman"/>
                <w:shd w:val="clear" w:color="auto" w:fill="FFFFFF"/>
              </w:rPr>
              <w:t xml:space="preserve"> месторождение, км 283+850 – км 284+450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284+150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11,5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24.11.2022</w:t>
            </w:r>
          </w:p>
        </w:tc>
      </w:tr>
      <w:tr w:rsidR="00B173BD">
        <w:trPr>
          <w:cantSplit/>
          <w:trHeight w:val="4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</w:t>
            </w:r>
          </w:p>
        </w:tc>
        <w:tc>
          <w:tcPr>
            <w:tcW w:w="6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bCs/>
              </w:rPr>
              <w:t xml:space="preserve">г. </w:t>
            </w:r>
            <w:proofErr w:type="spellStart"/>
            <w:r>
              <w:rPr>
                <w:rFonts w:cs="Times New Roman"/>
                <w:bCs/>
              </w:rPr>
              <w:t>Югорск</w:t>
            </w:r>
            <w:proofErr w:type="spellEnd"/>
            <w:r>
              <w:rPr>
                <w:rFonts w:cs="Times New Roman"/>
                <w:bCs/>
              </w:rPr>
              <w:t xml:space="preserve"> – </w:t>
            </w:r>
            <w:proofErr w:type="spellStart"/>
            <w:r>
              <w:rPr>
                <w:rFonts w:cs="Times New Roman"/>
                <w:bCs/>
              </w:rPr>
              <w:t>пгт</w:t>
            </w:r>
            <w:proofErr w:type="spellEnd"/>
            <w:r>
              <w:rPr>
                <w:rFonts w:cs="Times New Roman"/>
                <w:bCs/>
              </w:rPr>
              <w:t>. Таежный, км 436+730 – км 437+230</w:t>
            </w:r>
          </w:p>
        </w:tc>
        <w:tc>
          <w:tcPr>
            <w:tcW w:w="21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км 436+980</w:t>
            </w:r>
          </w:p>
        </w:tc>
        <w:tc>
          <w:tcPr>
            <w:tcW w:w="17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10,0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III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асфальтобетон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21.12.2020</w:t>
            </w:r>
            <w:bookmarkEnd w:id="2"/>
          </w:p>
        </w:tc>
      </w:tr>
      <w:tr w:rsidR="00B173BD">
        <w:trPr>
          <w:trHeight w:val="454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21.</w:t>
            </w:r>
          </w:p>
        </w:tc>
        <w:tc>
          <w:tcPr>
            <w:tcW w:w="627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  <w:highlight w:val="white"/>
              </w:rPr>
            </w:pPr>
            <w:r>
              <w:rPr>
                <w:rFonts w:eastAsia="Wingdings" w:cs="Times New Roman"/>
                <w:highlight w:val="white"/>
              </w:rPr>
              <w:t>участок «Южный обход города Сургута», автомобильной дороги «ЮГРА», км 38+500</w:t>
            </w:r>
            <w:r>
              <w:rPr>
                <w:rFonts w:cs="Times New Roman"/>
                <w:highlight w:val="white"/>
                <w:shd w:val="clear" w:color="auto" w:fill="FFFFFF"/>
              </w:rPr>
              <w:t xml:space="preserve"> – </w:t>
            </w:r>
            <w:r>
              <w:rPr>
                <w:rFonts w:eastAsia="Wingdings" w:cs="Times New Roman"/>
                <w:highlight w:val="white"/>
              </w:rPr>
              <w:t>км 38+850</w:t>
            </w:r>
          </w:p>
        </w:tc>
        <w:tc>
          <w:tcPr>
            <w:tcW w:w="2170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км 38+600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11,5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  <w:lang w:val="en-US"/>
              </w:rPr>
              <w:t>II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асфальтобетон</w:t>
            </w: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01.09.2026</w:t>
            </w:r>
          </w:p>
        </w:tc>
      </w:tr>
      <w:tr w:rsidR="00B173BD">
        <w:trPr>
          <w:trHeight w:val="454"/>
        </w:trPr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22.</w:t>
            </w:r>
          </w:p>
        </w:tc>
        <w:tc>
          <w:tcPr>
            <w:tcW w:w="6271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bCs/>
                <w:highlight w:val="white"/>
              </w:rPr>
            </w:pPr>
            <w:r>
              <w:rPr>
                <w:rFonts w:eastAsia="Wingdings" w:cs="Times New Roman"/>
                <w:highlight w:val="white"/>
              </w:rPr>
              <w:t xml:space="preserve">участок «Южный обход города Сургута», автомобильной дороги «ЮГРА», км 41+890 </w:t>
            </w:r>
            <w:r>
              <w:rPr>
                <w:rFonts w:cs="Times New Roman"/>
                <w:highlight w:val="white"/>
                <w:shd w:val="clear" w:color="auto" w:fill="FFFFFF"/>
              </w:rPr>
              <w:t xml:space="preserve">– </w:t>
            </w:r>
            <w:r>
              <w:rPr>
                <w:rFonts w:eastAsia="Wingdings" w:cs="Times New Roman"/>
                <w:highlight w:val="white"/>
              </w:rPr>
              <w:t>км 42+140</w:t>
            </w:r>
          </w:p>
        </w:tc>
        <w:tc>
          <w:tcPr>
            <w:tcW w:w="2170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км 42+040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11,5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  <w:lang w:val="en-US"/>
              </w:rPr>
              <w:t>II</w:t>
            </w: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B173BD" w:rsidRDefault="00707F78">
            <w:pPr>
              <w:spacing w:after="0" w:line="240" w:lineRule="auto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асфальтобетон</w:t>
            </w: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BD" w:rsidRDefault="00707F78">
            <w:pPr>
              <w:spacing w:after="0" w:line="240" w:lineRule="auto"/>
              <w:jc w:val="center"/>
              <w:rPr>
                <w:rFonts w:cs="Times New Roman"/>
                <w:highlight w:val="white"/>
              </w:rPr>
            </w:pPr>
            <w:r>
              <w:rPr>
                <w:rFonts w:cs="Times New Roman"/>
                <w:highlight w:val="white"/>
              </w:rPr>
              <w:t>01.09.2026</w:t>
            </w:r>
          </w:p>
        </w:tc>
      </w:tr>
    </w:tbl>
    <w:p w:rsidR="00B173BD" w:rsidRDefault="00B173BD">
      <w:pPr>
        <w:pStyle w:val="afb"/>
        <w:spacing w:after="0" w:line="240" w:lineRule="auto"/>
        <w:ind w:left="0" w:firstLine="708"/>
        <w:rPr>
          <w:rFonts w:cs="Times New Roman"/>
          <w:i/>
          <w:iCs/>
          <w:u w:val="single"/>
        </w:rPr>
      </w:pPr>
    </w:p>
    <w:p w:rsidR="00B173BD" w:rsidRDefault="00707F78">
      <w:pPr>
        <w:pStyle w:val="afb"/>
        <w:spacing w:after="0" w:line="240" w:lineRule="auto"/>
        <w:ind w:left="0" w:firstLine="708"/>
        <w:jc w:val="both"/>
        <w:rPr>
          <w:highlight w:val="white"/>
        </w:rPr>
      </w:pPr>
      <w:r>
        <w:rPr>
          <w:rFonts w:cs="Times New Roman"/>
          <w:i/>
          <w:iCs/>
          <w:highlight w:val="white"/>
          <w:u w:val="single"/>
        </w:rPr>
        <w:t>Примечание:</w:t>
      </w:r>
      <w:r>
        <w:rPr>
          <w:rFonts w:cs="Times New Roman"/>
          <w:highlight w:val="white"/>
        </w:rPr>
        <w:t xml:space="preserve"> допустимая нагрузка на ось колесного транспортного средства </w:t>
      </w:r>
      <w:r>
        <w:rPr>
          <w:rFonts w:cs="Times New Roman"/>
          <w:highlight w:val="white"/>
        </w:rPr>
        <w:t>на участках размещения АПВГК принимается исходя из нормативной (расчетной) нагрузки (тонн на ось) для автомобильной дороги (приложение №2 к постановлению Правительства Российской Федерации №2060 от 01 декабря 2023 года).</w:t>
      </w:r>
    </w:p>
    <w:sectPr w:rsidR="00B173BD">
      <w:headerReference w:type="default" r:id="rId8"/>
      <w:pgSz w:w="16838" w:h="11906" w:orient="landscape"/>
      <w:pgMar w:top="85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F78" w:rsidRDefault="00707F78">
      <w:pPr>
        <w:spacing w:after="0" w:line="240" w:lineRule="auto"/>
      </w:pPr>
      <w:r>
        <w:separator/>
      </w:r>
    </w:p>
  </w:endnote>
  <w:endnote w:type="continuationSeparator" w:id="0">
    <w:p w:rsidR="00707F78" w:rsidRDefault="0070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F78" w:rsidRDefault="00707F78">
      <w:pPr>
        <w:spacing w:after="0" w:line="240" w:lineRule="auto"/>
      </w:pPr>
      <w:r>
        <w:separator/>
      </w:r>
    </w:p>
  </w:footnote>
  <w:footnote w:type="continuationSeparator" w:id="0">
    <w:p w:rsidR="00707F78" w:rsidRDefault="0070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BD" w:rsidRDefault="00B173BD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351F2"/>
    <w:multiLevelType w:val="hybridMultilevel"/>
    <w:tmpl w:val="FA961150"/>
    <w:lvl w:ilvl="0" w:tplc="9C4444EE">
      <w:start w:val="1"/>
      <w:numFmt w:val="decimal"/>
      <w:lvlText w:val="%1."/>
      <w:lvlJc w:val="left"/>
      <w:pPr>
        <w:ind w:left="720" w:hanging="360"/>
      </w:pPr>
    </w:lvl>
    <w:lvl w:ilvl="1" w:tplc="B37E963E">
      <w:start w:val="1"/>
      <w:numFmt w:val="lowerLetter"/>
      <w:lvlText w:val="%2."/>
      <w:lvlJc w:val="left"/>
      <w:pPr>
        <w:ind w:left="1440" w:hanging="360"/>
      </w:pPr>
    </w:lvl>
    <w:lvl w:ilvl="2" w:tplc="6ECABCD4">
      <w:start w:val="1"/>
      <w:numFmt w:val="lowerRoman"/>
      <w:lvlText w:val="%3."/>
      <w:lvlJc w:val="right"/>
      <w:pPr>
        <w:ind w:left="2160" w:hanging="180"/>
      </w:pPr>
    </w:lvl>
    <w:lvl w:ilvl="3" w:tplc="AB16ED0C">
      <w:start w:val="1"/>
      <w:numFmt w:val="decimal"/>
      <w:lvlText w:val="%4."/>
      <w:lvlJc w:val="left"/>
      <w:pPr>
        <w:ind w:left="2880" w:hanging="360"/>
      </w:pPr>
    </w:lvl>
    <w:lvl w:ilvl="4" w:tplc="8094373A">
      <w:start w:val="1"/>
      <w:numFmt w:val="lowerLetter"/>
      <w:lvlText w:val="%5."/>
      <w:lvlJc w:val="left"/>
      <w:pPr>
        <w:ind w:left="3600" w:hanging="360"/>
      </w:pPr>
    </w:lvl>
    <w:lvl w:ilvl="5" w:tplc="3CBC6486">
      <w:start w:val="1"/>
      <w:numFmt w:val="lowerRoman"/>
      <w:lvlText w:val="%6."/>
      <w:lvlJc w:val="right"/>
      <w:pPr>
        <w:ind w:left="4320" w:hanging="180"/>
      </w:pPr>
    </w:lvl>
    <w:lvl w:ilvl="6" w:tplc="DACED252">
      <w:start w:val="1"/>
      <w:numFmt w:val="decimal"/>
      <w:lvlText w:val="%7."/>
      <w:lvlJc w:val="left"/>
      <w:pPr>
        <w:ind w:left="5040" w:hanging="360"/>
      </w:pPr>
    </w:lvl>
    <w:lvl w:ilvl="7" w:tplc="3F4A558E">
      <w:start w:val="1"/>
      <w:numFmt w:val="lowerLetter"/>
      <w:lvlText w:val="%8."/>
      <w:lvlJc w:val="left"/>
      <w:pPr>
        <w:ind w:left="5760" w:hanging="360"/>
      </w:pPr>
    </w:lvl>
    <w:lvl w:ilvl="8" w:tplc="97261B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BD"/>
    <w:rsid w:val="00707F78"/>
    <w:rsid w:val="008E0CE4"/>
    <w:rsid w:val="00B17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67DBA9-63AB-4F50-890F-6705D0CF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80"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Заголовок приказа"/>
    <w:basedOn w:val="a"/>
    <w:link w:val="afd"/>
    <w:qFormat/>
    <w:pPr>
      <w:spacing w:after="0" w:line="240" w:lineRule="auto"/>
      <w:jc w:val="center"/>
    </w:pPr>
    <w:rPr>
      <w:lang w:eastAsia="ru-RU"/>
    </w:rPr>
  </w:style>
  <w:style w:type="paragraph" w:customStyle="1" w:styleId="afe">
    <w:name w:val="Распорядительная часть приказа"/>
    <w:basedOn w:val="a"/>
    <w:link w:val="aff"/>
    <w:pPr>
      <w:spacing w:after="0" w:line="240" w:lineRule="auto"/>
      <w:jc w:val="both"/>
    </w:pPr>
    <w:rPr>
      <w:lang w:eastAsia="ru-RU"/>
    </w:rPr>
  </w:style>
  <w:style w:type="character" w:customStyle="1" w:styleId="afd">
    <w:name w:val="Заголовок приказа Знак"/>
    <w:basedOn w:val="a0"/>
    <w:link w:val="afc"/>
    <w:rPr>
      <w:sz w:val="24"/>
      <w:szCs w:val="24"/>
      <w:lang w:eastAsia="ru-RU"/>
    </w:rPr>
  </w:style>
  <w:style w:type="character" w:customStyle="1" w:styleId="aff">
    <w:name w:val="Распорядительная часть приказа Знак"/>
    <w:basedOn w:val="a0"/>
    <w:link w:val="afe"/>
    <w:rPr>
      <w:sz w:val="24"/>
      <w:szCs w:val="24"/>
      <w:lang w:eastAsia="ru-RU"/>
    </w:rPr>
  </w:style>
  <w:style w:type="paragraph" w:customStyle="1" w:styleId="aff0">
    <w:name w:val="Текст приказа"/>
    <w:basedOn w:val="afe"/>
    <w:link w:val="aff1"/>
    <w:qFormat/>
  </w:style>
  <w:style w:type="paragraph" w:customStyle="1" w:styleId="aff2">
    <w:name w:val="Преамбула"/>
    <w:basedOn w:val="a"/>
    <w:link w:val="aff3"/>
    <w:qFormat/>
    <w:pPr>
      <w:spacing w:after="0" w:line="240" w:lineRule="auto"/>
      <w:jc w:val="both"/>
    </w:pPr>
    <w:rPr>
      <w:sz w:val="16"/>
      <w:szCs w:val="16"/>
      <w:lang w:eastAsia="ru-RU"/>
    </w:rPr>
  </w:style>
  <w:style w:type="character" w:customStyle="1" w:styleId="aff1">
    <w:name w:val="Текст приказа Знак"/>
    <w:basedOn w:val="aff"/>
    <w:link w:val="aff0"/>
    <w:rPr>
      <w:sz w:val="24"/>
      <w:szCs w:val="24"/>
      <w:lang w:eastAsia="ru-RU"/>
    </w:rPr>
  </w:style>
  <w:style w:type="character" w:customStyle="1" w:styleId="aff3">
    <w:name w:val="Преамбула Знак"/>
    <w:basedOn w:val="a0"/>
    <w:link w:val="aff2"/>
    <w:rPr>
      <w:sz w:val="16"/>
      <w:szCs w:val="16"/>
      <w:lang w:eastAsia="ru-RU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paragraph" w:styleId="aff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styleId="aff6">
    <w:name w:val="Body Text"/>
    <w:basedOn w:val="a"/>
    <w:link w:val="aff7"/>
    <w:unhideWhenUsed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character" w:customStyle="1" w:styleId="aff7">
    <w:name w:val="Основной текст Знак"/>
    <w:basedOn w:val="a0"/>
    <w:link w:val="aff6"/>
    <w:rPr>
      <w:rFonts w:eastAsia="Times New Roman" w:cs="Times New Roman"/>
      <w:sz w:val="28"/>
      <w:szCs w:val="20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cs="Times New Roman"/>
      <w:color w:val="000000"/>
    </w:rPr>
  </w:style>
  <w:style w:type="paragraph" w:styleId="aff8">
    <w:name w:val="Body Text Indent"/>
    <w:basedOn w:val="a"/>
    <w:link w:val="aff9"/>
    <w:uiPriority w:val="99"/>
    <w:semiHidden/>
    <w:unhideWhenUsed/>
    <w:pPr>
      <w:spacing w:after="120"/>
      <w:ind w:left="283"/>
    </w:pPr>
  </w:style>
  <w:style w:type="character" w:customStyle="1" w:styleId="aff9">
    <w:name w:val="Основной текст с отступом Знак"/>
    <w:basedOn w:val="a0"/>
    <w:link w:val="aff8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60B9D-9205-49A9-BD01-191CC045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Косьяненко</dc:creator>
  <cp:lastModifiedBy>Дудин Роман</cp:lastModifiedBy>
  <cp:revision>9</cp:revision>
  <dcterms:created xsi:type="dcterms:W3CDTF">2023-11-15T12:37:00Z</dcterms:created>
  <dcterms:modified xsi:type="dcterms:W3CDTF">2026-08-28T10:18:00Z</dcterms:modified>
</cp:coreProperties>
</file>